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</w:rPr>
        <w:drawing>
          <wp:inline distT="0" distB="0" distL="0" distR="0">
            <wp:extent cx="3198617" cy="424638"/>
            <wp:effectExtent l="0" t="0" r="0" b="0"/>
            <wp:docPr id="1073741825" name="officeArt object" descr="B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SA" descr="BSA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617" cy="4246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Normal.0"/>
        <w:outlineLvl w:val="0"/>
        <w:rPr>
          <w:rFonts w:ascii="Gill Sans SemiBold" w:cs="Gill Sans SemiBold" w:hAnsi="Gill Sans SemiBold" w:eastAsia="Gill Sans SemiBold"/>
          <w:sz w:val="32"/>
          <w:szCs w:val="32"/>
        </w:rPr>
      </w:pPr>
      <w:r>
        <w:rPr>
          <w:rFonts w:ascii="Gill Sans SemiBold" w:hAnsi="Gill Sans SemiBold"/>
          <w:sz w:val="32"/>
          <w:szCs w:val="32"/>
          <w:rtl w:val="0"/>
          <w:lang w:val="en-US"/>
        </w:rPr>
        <w:t>Materials list</w:t>
      </w:r>
    </w:p>
    <w:p>
      <w:pPr>
        <w:pStyle w:val="Normal.0"/>
        <w:outlineLvl w:val="0"/>
        <w:rPr>
          <w:rFonts w:ascii="Gill Sans SemiBold" w:cs="Gill Sans SemiBold" w:hAnsi="Gill Sans SemiBold" w:eastAsia="Gill Sans SemiBold"/>
          <w:sz w:val="32"/>
          <w:szCs w:val="32"/>
        </w:rPr>
      </w:pPr>
      <w:r>
        <w:rPr>
          <w:rFonts w:ascii="Gill Sans SemiBold" w:hAnsi="Gill Sans SemiBold"/>
          <w:i w:val="1"/>
          <w:iCs w:val="1"/>
          <w:sz w:val="32"/>
          <w:szCs w:val="32"/>
          <w:rtl w:val="0"/>
          <w:lang w:val="en-US"/>
        </w:rPr>
        <w:t>Fluidity &amp; Structure</w:t>
      </w:r>
      <w:r>
        <w:rPr>
          <w:rFonts w:ascii="Gill Sans SemiBold" w:hAnsi="Gill Sans SemiBold"/>
          <w:sz w:val="32"/>
          <w:szCs w:val="32"/>
          <w:rtl w:val="0"/>
          <w:lang w:val="en-US"/>
        </w:rPr>
        <w:t xml:space="preserve"> with Georgie Hill</w:t>
      </w:r>
    </w:p>
    <w:p>
      <w:pPr>
        <w:pStyle w:val="Normal.0"/>
        <w:outlineLvl w:val="0"/>
        <w:rPr>
          <w:rFonts w:ascii="Gill Sans Light" w:cs="Gill Sans Light" w:hAnsi="Gill Sans Light" w:eastAsia="Gill Sans Light"/>
          <w:u w:val="single"/>
        </w:rPr>
      </w:pPr>
    </w:p>
    <w:p>
      <w:pPr>
        <w:pStyle w:val="Normal.0"/>
        <w:outlineLvl w:val="0"/>
        <w:rPr>
          <w:rFonts w:ascii="Gill Sans Light" w:cs="Gill Sans Light" w:hAnsi="Gill Sans Light" w:eastAsia="Gill Sans Light"/>
        </w:rPr>
      </w:pPr>
      <w:r>
        <w:rPr>
          <w:rFonts w:ascii="Gill Sans Light" w:hAnsi="Gill Sans Light"/>
          <w:rtl w:val="0"/>
          <w:lang w:val="en-US"/>
        </w:rPr>
        <w:t xml:space="preserve">A basic kit of materials to get you up and going is listed here. Specialist art shops are the best option 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Gill Sans Light" w:hAnsi="Gill Sans Light"/>
          <w:rtl w:val="0"/>
          <w:lang w:val="en-US"/>
        </w:rPr>
        <w:t>and will provide student discounts if you mention that you are attending the school.</w:t>
      </w:r>
    </w:p>
    <w:p>
      <w:pPr>
        <w:pStyle w:val="Normal.0"/>
        <w:outlineLvl w:val="0"/>
        <w:rPr>
          <w:rFonts w:ascii="Gill Sans Light" w:cs="Gill Sans Light" w:hAnsi="Gill Sans Light" w:eastAsia="Gill Sans Light"/>
        </w:rPr>
      </w:pPr>
    </w:p>
    <w:p>
      <w:pPr>
        <w:pStyle w:val="Normal.0"/>
        <w:outlineLvl w:val="0"/>
        <w:rPr>
          <w:rFonts w:ascii="Gill Sans Light" w:cs="Gill Sans Light" w:hAnsi="Gill Sans Light" w:eastAsia="Gill Sans Light"/>
        </w:rPr>
      </w:pPr>
      <w:r>
        <w:rPr>
          <w:rFonts w:ascii="Gill Sans Light" w:hAnsi="Gill Sans Light"/>
          <w:rtl w:val="0"/>
          <w:lang w:val="en-US"/>
        </w:rPr>
        <w:t>The stores we recommend are: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outlineLvl w:val="0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>Studio Art Supplies: Crummer Road, Grey Lynn.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outlineLvl w:val="0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>The French Art Shop: Taylors Road, Morningside (beside Briscoes)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outlineLvl w:val="0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>Gordon Harris: Gillies Avenue, Newmarket and Symonds Street, Auckland Central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outlineLvl w:val="0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>Takapuna Art Supplies: Helensville or online</w:t>
      </w:r>
    </w:p>
    <w:p>
      <w:pPr>
        <w:pStyle w:val="Normal.0"/>
        <w:outlineLvl w:val="0"/>
        <w:rPr>
          <w:rFonts w:ascii="Gill Sans Light" w:cs="Gill Sans Light" w:hAnsi="Gill Sans Light" w:eastAsia="Gill Sans Light"/>
          <w:u w:val="single"/>
        </w:rPr>
      </w:pPr>
    </w:p>
    <w:p>
      <w:pPr>
        <w:pStyle w:val="Normal.0"/>
        <w:outlineLvl w:val="0"/>
        <w:rPr>
          <w:rFonts w:ascii="Gill Sans Light" w:cs="Gill Sans Light" w:hAnsi="Gill Sans Light" w:eastAsia="Gill Sans Light"/>
          <w:u w:val="single"/>
        </w:rPr>
      </w:pPr>
      <w:r>
        <w:rPr>
          <w:rFonts w:ascii="Gill Sans SemiBold" w:hAnsi="Gill Sans SemiBold"/>
          <w:rtl w:val="0"/>
          <w:lang w:val="en-US"/>
        </w:rPr>
        <w:t>Materials to bring:</w:t>
      </w:r>
    </w:p>
    <w:p>
      <w:pPr>
        <w:pStyle w:val="Normal.0"/>
        <w:outlineLvl w:val="0"/>
        <w:rPr>
          <w:rFonts w:ascii="Gill Sans Light" w:cs="Gill Sans Light" w:hAnsi="Gill Sans Light" w:eastAsia="Gill Sans Light"/>
          <w:u w:val="single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 xml:space="preserve">Watercolour pad A4 - recommended:  Fabriano 1264 W/Colour 300G A4 Top Spiral Pad (available at Gordon Harris and Studio Art Supplies).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>Watercolour block - recommended: Hahnem</w:t>
      </w:r>
      <w:r>
        <w:rPr>
          <w:rFonts w:ascii="Gill Sans Light" w:hAnsi="Gill Sans Light" w:hint="default"/>
          <w:rtl w:val="0"/>
          <w:lang w:val="en-US"/>
        </w:rPr>
        <w:t>ü</w:t>
      </w:r>
      <w:r>
        <w:rPr>
          <w:rFonts w:ascii="Gill Sans Light" w:hAnsi="Gill Sans Light"/>
          <w:rtl w:val="0"/>
          <w:lang w:val="en-US"/>
        </w:rPr>
        <w:t xml:space="preserve">hle Hahn Harmony W/C 300G block A3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 xml:space="preserve">Watercolour brushes of your choice: </w:t>
      </w:r>
      <w:r>
        <w:rPr>
          <w:rFonts w:ascii="Gill Sans Light" w:hAnsi="Gill Sans Light"/>
          <w:shd w:val="clear" w:color="auto" w:fill="ffffff"/>
          <w:rtl w:val="0"/>
          <w:lang w:val="en-US"/>
        </w:rPr>
        <w:t xml:space="preserve">at least 2 different size brushes eg a small size 'round' brush and a 'mop' or 'flat' brush for washes - recommended: Da Vinci Casaneo watercolour brushes are synthetic fibre brushes that have great fluid-holding capacity but are less expensive than natural hair brushes. The Da Vinci Cosmotop spin range is also good. (The Gordon Harris website has information on these types </w:t>
      </w:r>
      <w:r>
        <w:rPr>
          <w:rFonts w:ascii="Gill Sans Light" w:hAnsi="Gill Sans Light"/>
          <w:shd w:val="clear" w:color="auto" w:fill="ffffff"/>
          <w:rtl w:val="0"/>
          <w:lang w:val="en-US"/>
        </w:rPr>
        <w:t>as well as natural hair watercolour brushes).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>Your tutor will bring in some brushes to demonstrate the different varieties available.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>Painter</w:t>
      </w:r>
      <w:r>
        <w:rPr>
          <w:rFonts w:ascii="Gill Sans Light" w:hAnsi="Gill Sans Light" w:hint="default"/>
          <w:rtl w:val="0"/>
          <w:lang w:val="en-US"/>
        </w:rPr>
        <w:t>’</w:t>
      </w:r>
      <w:r>
        <w:rPr>
          <w:rFonts w:ascii="Gill Sans Light" w:hAnsi="Gill Sans Light"/>
          <w:rtl w:val="0"/>
          <w:lang w:val="en-US"/>
        </w:rPr>
        <w:t>s tape: delicate (purple coloured tape).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>Paper towels</w:t>
      </w:r>
    </w:p>
    <w:p>
      <w:pPr>
        <w:pStyle w:val="Colorful List - Accent 1"/>
        <w:numPr>
          <w:ilvl w:val="0"/>
          <w:numId w:val="4"/>
        </w:numPr>
        <w:bidi w:val="0"/>
        <w:ind w:right="0"/>
        <w:jc w:val="left"/>
        <w:rPr>
          <w:rFonts w:ascii="Gill Sans Light" w:cs="Gill Sans Light" w:hAnsi="Gill Sans Light" w:eastAsia="Gill Sans Light"/>
          <w:rtl w:val="0"/>
          <w:lang w:val="en-US"/>
        </w:rPr>
      </w:pPr>
      <w:r>
        <w:rPr>
          <w:rFonts w:ascii="Gill Sans Light" w:hAnsi="Gill Sans Light"/>
          <w:rtl w:val="0"/>
          <w:lang w:val="en-US"/>
        </w:rPr>
        <w:t xml:space="preserve">Watercolours of your choice: recommended to bring a set with a range of colours from tubes or blocks (pans). The 3 primary colours are a good start and you can buy more as the course progresses. Both tube colours and pans are good (it comes down to personal preference).  </w:t>
      </w:r>
    </w:p>
    <w:p>
      <w:pPr>
        <w:pStyle w:val="Heading 2"/>
        <w:rPr>
          <w:rFonts w:ascii="Gill Sans Light" w:cs="Gill Sans Light" w:hAnsi="Gill Sans Light" w:eastAsia="Gill Sans Light"/>
          <w:b w:val="0"/>
          <w:bCs w:val="0"/>
          <w:sz w:val="24"/>
          <w:szCs w:val="24"/>
        </w:rPr>
      </w:pPr>
    </w:p>
    <w:p>
      <w:pPr>
        <w:pStyle w:val="Heading 2"/>
      </w:pPr>
      <w:r>
        <w:rPr>
          <w:rFonts w:ascii="Gill Sans Light" w:hAnsi="Gill Sans Light"/>
          <w:b w:val="0"/>
          <w:bCs w:val="0"/>
          <w:i w:val="1"/>
          <w:iCs w:val="1"/>
          <w:sz w:val="24"/>
          <w:szCs w:val="24"/>
          <w:rtl w:val="0"/>
          <w:lang w:val="en-US"/>
        </w:rPr>
        <w:t>This list is a general guide only. The majority (not necessarily all) of these materials may be used as students progress.</w:t>
      </w:r>
    </w:p>
    <w:sectPr>
      <w:headerReference w:type="default" r:id="rId5"/>
      <w:footerReference w:type="default" r:id="rId6"/>
      <w:pgSz w:w="11900" w:h="16840" w:orient="portrait"/>
      <w:pgMar w:top="1062" w:right="801" w:bottom="426" w:left="949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 SemiBold">
    <w:charset w:val="00"/>
    <w:family w:val="roman"/>
    <w:pitch w:val="default"/>
  </w:font>
  <w:font w:name="Gill Sans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  <w:style w:type="paragraph" w:styleId="Colorful List - Accent 1">
    <w:name w:val="Colorful List - Accent 1"/>
    <w:next w:val="Colorful List - Accent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